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4724400</wp:posOffset>
            </wp:positionH>
            <wp:positionV relativeFrom="paragraph">
              <wp:posOffset>67310</wp:posOffset>
            </wp:positionV>
            <wp:extent cx="1076325" cy="90487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-92073</wp:posOffset>
            </wp:positionH>
            <wp:positionV relativeFrom="paragraph">
              <wp:posOffset>161925</wp:posOffset>
            </wp:positionV>
            <wp:extent cx="2006600" cy="57150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6D02" w:rsidRDefault="00D9395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31386" cy="73978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1386" cy="739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FE6D02">
      <w:pPr>
        <w:jc w:val="both"/>
        <w:rPr>
          <w:sz w:val="24"/>
          <w:szCs w:val="24"/>
        </w:rPr>
      </w:pPr>
    </w:p>
    <w:p w:rsidR="00FE6D02" w:rsidRDefault="00FE6D02">
      <w:pPr>
        <w:jc w:val="both"/>
        <w:rPr>
          <w:sz w:val="24"/>
          <w:szCs w:val="24"/>
        </w:rPr>
      </w:pPr>
    </w:p>
    <w:p w:rsidR="00FE6D02" w:rsidRDefault="00D939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RAZPIS ERUDIO VIŠJE STROKOVNE ŠOLE ZA SOFINANCIRANJE MOBIL</w:t>
      </w:r>
      <w:r w:rsidR="008E02D9">
        <w:rPr>
          <w:b/>
          <w:sz w:val="22"/>
          <w:szCs w:val="22"/>
        </w:rPr>
        <w:t>NOSTI OSEBJA ZA NAMEN USPOSABLJA</w:t>
      </w:r>
      <w:r>
        <w:rPr>
          <w:b/>
          <w:sz w:val="22"/>
          <w:szCs w:val="22"/>
        </w:rPr>
        <w:t>NJA V OKVIRU PROGRAMA</w:t>
      </w:r>
      <w:r w:rsidR="00816F84">
        <w:rPr>
          <w:b/>
          <w:sz w:val="22"/>
          <w:szCs w:val="22"/>
        </w:rPr>
        <w:t xml:space="preserve"> ERASMUS+ v študijsk</w:t>
      </w:r>
      <w:r w:rsidR="00AC0B84">
        <w:rPr>
          <w:b/>
          <w:sz w:val="22"/>
          <w:szCs w:val="22"/>
        </w:rPr>
        <w:t>ih</w:t>
      </w:r>
      <w:r w:rsidR="00816F84">
        <w:rPr>
          <w:b/>
          <w:sz w:val="22"/>
          <w:szCs w:val="22"/>
        </w:rPr>
        <w:t xml:space="preserve"> let</w:t>
      </w:r>
      <w:r w:rsidR="00AC0B84">
        <w:rPr>
          <w:b/>
          <w:sz w:val="22"/>
          <w:szCs w:val="22"/>
        </w:rPr>
        <w:t>ih</w:t>
      </w:r>
      <w:r w:rsidR="00816F84">
        <w:rPr>
          <w:b/>
          <w:sz w:val="22"/>
          <w:szCs w:val="22"/>
        </w:rPr>
        <w:t xml:space="preserve"> 20</w:t>
      </w:r>
      <w:r w:rsidR="00AC0B84">
        <w:rPr>
          <w:b/>
          <w:sz w:val="22"/>
          <w:szCs w:val="22"/>
        </w:rPr>
        <w:t>20</w:t>
      </w:r>
      <w:r w:rsidR="00816F84">
        <w:rPr>
          <w:b/>
          <w:sz w:val="22"/>
          <w:szCs w:val="22"/>
        </w:rPr>
        <w:t>/202</w:t>
      </w:r>
      <w:r w:rsidR="00AC0B84">
        <w:rPr>
          <w:b/>
          <w:sz w:val="22"/>
          <w:szCs w:val="22"/>
        </w:rPr>
        <w:t>1 in 2021/2022</w:t>
      </w:r>
    </w:p>
    <w:p w:rsidR="00FE6D02" w:rsidRDefault="00FE6D02">
      <w:pPr>
        <w:jc w:val="center"/>
        <w:rPr>
          <w:b/>
          <w:sz w:val="22"/>
          <w:szCs w:val="22"/>
        </w:rPr>
      </w:pPr>
    </w:p>
    <w:p w:rsidR="00FE6D02" w:rsidRDefault="00673C1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Rok prijave je </w:t>
      </w:r>
      <w:r w:rsidR="00AC0B84">
        <w:rPr>
          <w:b/>
          <w:sz w:val="22"/>
          <w:szCs w:val="22"/>
        </w:rPr>
        <w:t>31.</w:t>
      </w:r>
      <w:r>
        <w:rPr>
          <w:b/>
          <w:sz w:val="22"/>
          <w:szCs w:val="22"/>
        </w:rPr>
        <w:t xml:space="preserve"> </w:t>
      </w:r>
      <w:r w:rsidR="00AC0B8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1. 20</w:t>
      </w:r>
      <w:r w:rsidR="00AC0B84">
        <w:rPr>
          <w:b/>
          <w:sz w:val="22"/>
          <w:szCs w:val="22"/>
        </w:rPr>
        <w:t>22</w:t>
      </w:r>
      <w:r w:rsidR="00D9395E">
        <w:rPr>
          <w:b/>
          <w:sz w:val="22"/>
          <w:szCs w:val="22"/>
        </w:rPr>
        <w:t xml:space="preserve"> oziroma po tem roku do porabe sredstev</w:t>
      </w:r>
    </w:p>
    <w:p w:rsidR="00FE6D02" w:rsidRDefault="00FE6D02">
      <w:pPr>
        <w:jc w:val="both"/>
        <w:rPr>
          <w:sz w:val="24"/>
          <w:szCs w:val="24"/>
        </w:rPr>
      </w:pPr>
    </w:p>
    <w:p w:rsidR="00FE6D02" w:rsidRDefault="00D9395E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Uvodno </w:t>
      </w:r>
    </w:p>
    <w:p w:rsidR="00FE6D02" w:rsidRDefault="00FE6D02">
      <w:pPr>
        <w:ind w:left="720"/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odobrenih sredstev Evropske komisije je ERUDIO Višja strokovna šola (v nadaljevanju ERUDIO VSŠ) podpisala sporazum s Centrom RS za mobilnost in evropske programe izobraževanja in usposabljanja (CMEPIUS), v okviru katerega objavlja Razpis za sofinanciranje mobilnosti osebja ERUDIO VSŠ z namenom usposabljanja v tujini.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Mobilnost osebja za namen usposabljanja (ERASMUS + STT)</w:t>
      </w:r>
      <w:r>
        <w:rPr>
          <w:sz w:val="22"/>
          <w:szCs w:val="22"/>
        </w:rPr>
        <w:t xml:space="preserve"> (»</w:t>
      </w:r>
      <w:proofErr w:type="spellStart"/>
      <w:r>
        <w:rPr>
          <w:sz w:val="22"/>
          <w:szCs w:val="22"/>
        </w:rPr>
        <w:t>Staff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training</w:t>
      </w:r>
      <w:proofErr w:type="spellEnd"/>
      <w:r>
        <w:rPr>
          <w:sz w:val="22"/>
          <w:szCs w:val="22"/>
        </w:rPr>
        <w:t xml:space="preserve">«) se v okviru programa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med programskimi državami (KA 103) nanaša na mobilnost osebja višješolskih institucij z namenom lastnega usposabljanja.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Namen razpisa je v okviru odobrenih sredstev omogočiti osebju ERUDIO VSŠ usposabljanje v tujini, izobraževalne obiske na delovnem mestu, opazovanje delovnih procesov (</w:t>
      </w:r>
      <w:proofErr w:type="spellStart"/>
      <w:r>
        <w:rPr>
          <w:sz w:val="22"/>
          <w:szCs w:val="22"/>
        </w:rPr>
        <w:t>job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shadowing</w:t>
      </w:r>
      <w:proofErr w:type="spellEnd"/>
      <w:r>
        <w:rPr>
          <w:sz w:val="22"/>
          <w:szCs w:val="22"/>
        </w:rPr>
        <w:t xml:space="preserve">) na partnerskih višješolskih institucijah ali v drugih ustreznih organizacijah. Posledično naj bi mobilnost osebja pripomogla tudi k povečanju kvalitete in kvantitete mobilnosti na ERUDIO VSŠ, v okviru programa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Cilji tovrstne mobilnosti so: </w:t>
      </w:r>
    </w:p>
    <w:p w:rsidR="00FE6D02" w:rsidRDefault="00D939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omogočiti, da zaposleni na izobraževalni instituciji pridobijo znanje ali določeno praktično znanje iz izkušenj in dobrih praks v tujini, kot tudi praktične spretnosti, ki so pomembne za njihovo trenutno delo in njihov strokovni razvoj,</w:t>
      </w:r>
    </w:p>
    <w:p w:rsidR="00FE6D02" w:rsidRDefault="00D939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spodbujati izmenjavo strokovnega znanja in izkušenj, </w:t>
      </w:r>
    </w:p>
    <w:p w:rsidR="00FE6D02" w:rsidRDefault="00D939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ustvarjati povezave med višješolskimi zavodi in podjetji,</w:t>
      </w:r>
    </w:p>
    <w:p w:rsidR="00FE6D02" w:rsidRDefault="00D939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iskati več priložnosti za strokovni in poklicni razvoj, boljše kompetence ter povečanje zadovoljstva na delovnem mestu,</w:t>
      </w:r>
    </w:p>
    <w:p w:rsidR="00FE6D02" w:rsidRDefault="00D939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podpreti in spodbuditi mobilnost za študente,</w:t>
      </w:r>
    </w:p>
    <w:p w:rsidR="00FE6D02" w:rsidRDefault="00D939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spodbujati zaposlene na izobraževalni instituciji, da postanejo mobilni.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Organizacija gostiteljica</w:t>
      </w:r>
      <w:r>
        <w:rPr>
          <w:sz w:val="22"/>
          <w:szCs w:val="22"/>
        </w:rPr>
        <w:t xml:space="preserve"> mora biti višješolska institucija, ki je nosilka ECHE listine ali katerekoli javna ali zasebna organizacija, ki je dejavna na trgu dela ali področju izobraževanja, usposabljanja in mladine, s sedežem v programski državi.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Organizacija gostiteljica se mora strinjati s programom usposabljanja, ki se ga namerava udeležiti kandidat, kar potrdi s podpisom Sporazuma za mobilnost osebja z namenom usposabljanja (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</w:t>
      </w:r>
      <w:proofErr w:type="spellStart"/>
      <w:r>
        <w:rPr>
          <w:sz w:val="22"/>
          <w:szCs w:val="22"/>
        </w:rPr>
        <w:t>Staff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training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Mobility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agreement</w:t>
      </w:r>
      <w:proofErr w:type="spellEnd"/>
      <w:r>
        <w:rPr>
          <w:sz w:val="22"/>
          <w:szCs w:val="22"/>
        </w:rPr>
        <w:t xml:space="preserve">) pred začetkom obdobja mobilnosti.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Programske države</w:t>
      </w:r>
      <w:r>
        <w:rPr>
          <w:sz w:val="22"/>
          <w:szCs w:val="22"/>
        </w:rPr>
        <w:t xml:space="preserve">, ki sodelujejo v programu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mobilnosti med programskimi državami, so članice </w:t>
      </w:r>
      <w:r>
        <w:rPr>
          <w:sz w:val="22"/>
          <w:szCs w:val="22"/>
        </w:rPr>
        <w:lastRenderedPageBreak/>
        <w:t xml:space="preserve">Evropske unije, Islandija, Lihtenštajn, Norveška, Turčija in Republika Makedonija. </w:t>
      </w:r>
    </w:p>
    <w:p w:rsidR="00FE6D02" w:rsidRDefault="00FE6D02">
      <w:pPr>
        <w:ind w:left="360"/>
        <w:jc w:val="both"/>
        <w:rPr>
          <w:sz w:val="22"/>
          <w:szCs w:val="22"/>
        </w:rPr>
      </w:pPr>
    </w:p>
    <w:p w:rsidR="00FE6D02" w:rsidRDefault="00D9395E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Upravičeni kandidati in osnovni pogoji, ki jih morajo izpolnjevati </w:t>
      </w:r>
    </w:p>
    <w:p w:rsidR="00FE6D02" w:rsidRDefault="00FE6D02">
      <w:pPr>
        <w:ind w:left="720"/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 lahko opravi mobilnosti v sodelujoči programski državi, ki pa ne sme biti država organizacije pošiljateljice ali država stalnega prebivališča prijavitelja.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ta razpis ni mogoče prijaviti mobilnosti, ki vključujejo udeležbo na konferencah v tujini.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 po tem razpisu je lahko: </w:t>
      </w:r>
    </w:p>
    <w:p w:rsidR="00FE6D02" w:rsidRDefault="00D93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zaposleni na ERUDIO VSŠ (v delovnem razmerju, ki ustreza Zakonu o delovnih razmerjih – zaposleni za določen ali nedoločen čas, polno ali delno). Če je udeleženec hkrati v delovnem razmerju na drugem visokošolskem zavodu oziroma višji strokovni šoli, mora predložiti potrdilo tega zavoda oz. šole, da za isto mobilnost ni prejel sofinanciranja drugega delodajalca,</w:t>
      </w:r>
    </w:p>
    <w:p w:rsidR="00FE6D02" w:rsidRDefault="00D93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zaposleni iz javnih ali zasebnih organizacij iz programskih držav, pri čemer mora biti državljan programskih držav ali državljan druge države, ki je zaposlen in živi v programski d</w:t>
      </w:r>
      <w:r w:rsidR="00816F84">
        <w:rPr>
          <w:color w:val="000000"/>
          <w:sz w:val="22"/>
          <w:szCs w:val="22"/>
        </w:rPr>
        <w:t>ržavi, in v študijskem letu 2019/20</w:t>
      </w:r>
      <w:r>
        <w:rPr>
          <w:color w:val="000000"/>
          <w:sz w:val="22"/>
          <w:szCs w:val="22"/>
        </w:rPr>
        <w:t xml:space="preserve"> poslovno sodeluje z ERUDIO VSŠ pri izvajanju študijskega programa.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Prednost pri izboru imajo zaposleni, ki se prijavljajo na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mobilnost </w:t>
      </w:r>
      <w:r>
        <w:rPr>
          <w:b/>
          <w:sz w:val="22"/>
          <w:szCs w:val="22"/>
        </w:rPr>
        <w:t>prvič</w:t>
      </w:r>
      <w:r>
        <w:rPr>
          <w:sz w:val="22"/>
          <w:szCs w:val="22"/>
        </w:rPr>
        <w:t>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Trajanje posamezne mobilnosti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Na razpis je mogoče prijaviti mobi</w:t>
      </w:r>
      <w:r w:rsidR="00816F84">
        <w:rPr>
          <w:sz w:val="22"/>
          <w:szCs w:val="22"/>
        </w:rPr>
        <w:t>lnosti, ki bodo izvedene od 1. 11. 2019 do najkasneje 30. 9. 2020</w:t>
      </w:r>
      <w:r>
        <w:rPr>
          <w:sz w:val="22"/>
          <w:szCs w:val="22"/>
        </w:rPr>
        <w:t xml:space="preserve">. Dotacija se ne sme dodeliti za aktivnosti, ki so se že končale v času oddaje vloge za dotacijo in za katere ni bila izdana pogodba o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financiranju pred zaključkom mobilnosti.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Mobilnost zaposlenih mora trajati </w:t>
      </w:r>
      <w:r>
        <w:rPr>
          <w:sz w:val="22"/>
          <w:szCs w:val="22"/>
          <w:u w:val="single"/>
        </w:rPr>
        <w:t>najmanj 2 delovna dneva do največ 8 dni</w:t>
      </w:r>
      <w:r>
        <w:rPr>
          <w:sz w:val="22"/>
          <w:szCs w:val="22"/>
        </w:rPr>
        <w:t xml:space="preserve">, v kar ni zajet čas potovanja (dnevom mobilnosti se doda največ 2 dni za povratno pot).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Erasmus</w:t>
      </w:r>
      <w:proofErr w:type="spellEnd"/>
      <w:r>
        <w:rPr>
          <w:b/>
          <w:sz w:val="22"/>
          <w:szCs w:val="22"/>
        </w:rPr>
        <w:t xml:space="preserve">+ finančna dotacija za mobilnost osebja z namenom poučevanja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>+ STT finančna dotacija je namenjena kritju potnih stroškov in stroškov bivanja v tujini.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Najvišji znesek dotacije predstavlja vsoto dotacije za bivanje in dotacije za pot. V skladu s slovensko zakonodajo se prijavitelju izplača dotacije v višini dejanskih stroškov (v kolikor so ti nižji od dodeljene dotacije) do višine s tem razpisom določene dotacije, skladno z obračunanim potnim nalogom.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816F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 študijskem letu 20</w:t>
      </w:r>
      <w:r w:rsidR="00AC0B84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/202</w:t>
      </w:r>
      <w:r w:rsidR="00AC0B84">
        <w:rPr>
          <w:b/>
          <w:sz w:val="22"/>
          <w:szCs w:val="22"/>
        </w:rPr>
        <w:t>2</w:t>
      </w:r>
      <w:r w:rsidR="00D9395E">
        <w:rPr>
          <w:b/>
          <w:sz w:val="22"/>
          <w:szCs w:val="22"/>
        </w:rPr>
        <w:t xml:space="preserve"> se najvišje število dni, za katere se lahko dodeli </w:t>
      </w:r>
      <w:proofErr w:type="spellStart"/>
      <w:r w:rsidR="00D9395E">
        <w:rPr>
          <w:b/>
          <w:sz w:val="22"/>
          <w:szCs w:val="22"/>
        </w:rPr>
        <w:t>Erasmus</w:t>
      </w:r>
      <w:proofErr w:type="spellEnd"/>
      <w:r w:rsidR="00D9395E">
        <w:rPr>
          <w:b/>
          <w:sz w:val="22"/>
          <w:szCs w:val="22"/>
        </w:rPr>
        <w:t>+ STT finančna dotacija, omeji na največ 8 dni (ki lahko vključujejo do največ 2 dni za povratno pot).</w:t>
      </w:r>
    </w:p>
    <w:p w:rsidR="0023712C" w:rsidRDefault="0023712C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Tabela: Najvišji zneski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dotacije za bivanje glede na državo mobilnosti: </w:t>
      </w:r>
      <w:r w:rsidR="0023712C">
        <w:rPr>
          <w:rStyle w:val="Sprotnaopomba-sklic"/>
          <w:sz w:val="22"/>
          <w:szCs w:val="22"/>
        </w:rPr>
        <w:footnoteReference w:id="1"/>
      </w:r>
    </w:p>
    <w:tbl>
      <w:tblPr>
        <w:tblStyle w:val="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504"/>
      </w:tblGrid>
      <w:tr w:rsidR="00FE6D02">
        <w:tc>
          <w:tcPr>
            <w:tcW w:w="6232" w:type="dxa"/>
          </w:tcPr>
          <w:p w:rsidR="00FE6D02" w:rsidRDefault="00816F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Države gostiteljice</w:t>
            </w:r>
          </w:p>
        </w:tc>
        <w:tc>
          <w:tcPr>
            <w:tcW w:w="3504" w:type="dxa"/>
          </w:tcPr>
          <w:p w:rsidR="00FE6D02" w:rsidRDefault="00D9395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Najvišja dotacija v EUR/dan za dan mobilnosti (+ do 2 dni za pot)</w:t>
            </w:r>
          </w:p>
        </w:tc>
      </w:tr>
      <w:tr w:rsidR="00FE6D02">
        <w:tc>
          <w:tcPr>
            <w:tcW w:w="6232" w:type="dxa"/>
          </w:tcPr>
          <w:p w:rsidR="00FE6D02" w:rsidRDefault="00D93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Skupina 1 – države Programa z višjimi življenjskimi stroški: Danska, Finska, Islandija, Irska, Luksemburg,  Lihtenštajn, Norveška, Švedska, Združeno kraljestvo</w:t>
            </w:r>
          </w:p>
        </w:tc>
        <w:tc>
          <w:tcPr>
            <w:tcW w:w="3504" w:type="dxa"/>
          </w:tcPr>
          <w:p w:rsidR="00FE6D02" w:rsidRDefault="0081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  <w:tr w:rsidR="00FE6D02">
        <w:tc>
          <w:tcPr>
            <w:tcW w:w="6232" w:type="dxa"/>
          </w:tcPr>
          <w:p w:rsidR="00FE6D02" w:rsidRDefault="00D93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Skupina 2 – države Programa s srednjimi življenjskimi stroški: </w:t>
            </w:r>
            <w:r>
              <w:rPr>
                <w:sz w:val="22"/>
                <w:szCs w:val="22"/>
              </w:rPr>
              <w:lastRenderedPageBreak/>
              <w:t>Avstrija, Belgija, Ciper,</w:t>
            </w:r>
            <w:r w:rsidR="00816F84">
              <w:rPr>
                <w:sz w:val="22"/>
                <w:szCs w:val="22"/>
              </w:rPr>
              <w:t xml:space="preserve"> Grčija, Nemčija, </w:t>
            </w:r>
            <w:r>
              <w:rPr>
                <w:sz w:val="22"/>
                <w:szCs w:val="22"/>
              </w:rPr>
              <w:t xml:space="preserve">Nizozemska, Portugalska, Španija, Malta, Francija, Italija </w:t>
            </w:r>
          </w:p>
        </w:tc>
        <w:tc>
          <w:tcPr>
            <w:tcW w:w="3504" w:type="dxa"/>
          </w:tcPr>
          <w:p w:rsidR="00FE6D02" w:rsidRDefault="0081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160</w:t>
            </w:r>
          </w:p>
        </w:tc>
      </w:tr>
      <w:tr w:rsidR="00FE6D02">
        <w:tc>
          <w:tcPr>
            <w:tcW w:w="6232" w:type="dxa"/>
          </w:tcPr>
          <w:p w:rsidR="00FE6D02" w:rsidRDefault="00D93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Skupina 3 – države Programa z nižjimi življenjskimi stroški: Bolgarija, Hrvaška, Češka republika, Estonija, Latvija, Litva, Madžarska, Republika </w:t>
            </w:r>
            <w:r w:rsidR="00816F84">
              <w:rPr>
                <w:sz w:val="22"/>
                <w:szCs w:val="22"/>
              </w:rPr>
              <w:t xml:space="preserve">Severna </w:t>
            </w:r>
            <w:r>
              <w:rPr>
                <w:sz w:val="22"/>
                <w:szCs w:val="22"/>
              </w:rPr>
              <w:t>Makedonija, Poljska, Romunija, Slovaška, Turčija</w:t>
            </w:r>
            <w:r w:rsidR="00816F84">
              <w:rPr>
                <w:sz w:val="22"/>
                <w:szCs w:val="22"/>
              </w:rPr>
              <w:t>, Srbija</w:t>
            </w:r>
          </w:p>
        </w:tc>
        <w:tc>
          <w:tcPr>
            <w:tcW w:w="3504" w:type="dxa"/>
          </w:tcPr>
          <w:p w:rsidR="00FE6D02" w:rsidRDefault="0081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</w:tbl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izračunu (največje) dotacije za pot se uporabi kalkulator razdalj (zračna linija), ki je dostopen na povezavi: </w:t>
      </w:r>
      <w:hyperlink r:id="rId11" w:anchor="tab-1-4">
        <w:r>
          <w:rPr>
            <w:color w:val="0000FF"/>
            <w:sz w:val="22"/>
            <w:szCs w:val="22"/>
            <w:u w:val="single"/>
          </w:rPr>
          <w:t>http://ec.europa.eu/programmes/erasmus-plus/resources_en#tab-1-4</w:t>
        </w:r>
      </w:hyperlink>
      <w:r>
        <w:rPr>
          <w:sz w:val="22"/>
          <w:szCs w:val="22"/>
        </w:rPr>
        <w:t xml:space="preserve">. Na izračun ne vpliva način prevoza. Za končni izračun se upošteva dejanski strošek (razviden iz finančne dokumentacije) do višine najvišjega zneska.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Tabela: Izračun dotacije za pot na udeleženca glede na oddaljenost (po kalkulatorju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) gostujoče institucije. </w:t>
      </w: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V izračun se za kraj odhoda upošteva sedež ERUDIO VSŠ, Ljubljana.</w:t>
      </w:r>
    </w:p>
    <w:tbl>
      <w:tblPr>
        <w:tblStyle w:val="a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8"/>
        <w:gridCol w:w="4868"/>
      </w:tblGrid>
      <w:tr w:rsidR="00FE6D02">
        <w:tc>
          <w:tcPr>
            <w:tcW w:w="4868" w:type="dxa"/>
          </w:tcPr>
          <w:p w:rsidR="00FE6D02" w:rsidRDefault="00D93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Razdalje</w:t>
            </w:r>
          </w:p>
        </w:tc>
        <w:tc>
          <w:tcPr>
            <w:tcW w:w="4868" w:type="dxa"/>
          </w:tcPr>
          <w:p w:rsidR="00FE6D02" w:rsidRDefault="00D939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Najvišja dotacija za pot</w:t>
            </w:r>
          </w:p>
        </w:tc>
      </w:tr>
      <w:tr w:rsidR="00FE6D02"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10 do 99 km</w:t>
            </w:r>
          </w:p>
        </w:tc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EUR</w:t>
            </w:r>
          </w:p>
        </w:tc>
      </w:tr>
      <w:tr w:rsidR="00FE6D02"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100 do 499 km</w:t>
            </w:r>
          </w:p>
        </w:tc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EUR</w:t>
            </w:r>
          </w:p>
        </w:tc>
      </w:tr>
      <w:tr w:rsidR="00FE6D02"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500 do 1999 km</w:t>
            </w:r>
          </w:p>
        </w:tc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EUR</w:t>
            </w:r>
          </w:p>
        </w:tc>
      </w:tr>
      <w:tr w:rsidR="00FE6D02"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2000 do 2999 km</w:t>
            </w:r>
          </w:p>
        </w:tc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EUR</w:t>
            </w:r>
          </w:p>
        </w:tc>
      </w:tr>
      <w:tr w:rsidR="00FE6D02"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3000 do 3999 km</w:t>
            </w:r>
          </w:p>
        </w:tc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 EUR</w:t>
            </w:r>
          </w:p>
        </w:tc>
      </w:tr>
      <w:tr w:rsidR="00FE6D02"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4000 do 7999 km</w:t>
            </w:r>
          </w:p>
        </w:tc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 EUR</w:t>
            </w:r>
          </w:p>
        </w:tc>
      </w:tr>
      <w:tr w:rsidR="00FE6D02"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8000 km naprej</w:t>
            </w:r>
          </w:p>
        </w:tc>
        <w:tc>
          <w:tcPr>
            <w:tcW w:w="4868" w:type="dxa"/>
          </w:tcPr>
          <w:p w:rsidR="00FE6D02" w:rsidRDefault="00D9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EUR</w:t>
            </w:r>
          </w:p>
        </w:tc>
      </w:tr>
    </w:tbl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Upravičeni stroški so: </w:t>
      </w: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Dotacija za bivanje: dnevnice, namestitev, lokalni prevoz in zdravstveno zavarovanje za tujini.</w:t>
      </w: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Dotacija za pot: javni prevoz ali prevoz z osebnim avtomobilom do kraja bivanja do destinacije mobilnosti na dan prihoda in odhoda.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E6D02" w:rsidRDefault="00D9395E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Postopek prijave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odd</w:t>
      </w:r>
      <w:r w:rsidR="0023712C">
        <w:rPr>
          <w:sz w:val="22"/>
          <w:szCs w:val="22"/>
        </w:rPr>
        <w:t>ajo Prijavo za ERASMUS+ STT 20</w:t>
      </w:r>
      <w:r w:rsidR="00AC0B84">
        <w:rPr>
          <w:sz w:val="22"/>
          <w:szCs w:val="22"/>
        </w:rPr>
        <w:t>21</w:t>
      </w:r>
      <w:r w:rsidR="0023712C">
        <w:rPr>
          <w:sz w:val="22"/>
          <w:szCs w:val="22"/>
        </w:rPr>
        <w:t>/2</w:t>
      </w:r>
      <w:r w:rsidR="00AC0B84">
        <w:rPr>
          <w:sz w:val="22"/>
          <w:szCs w:val="22"/>
        </w:rPr>
        <w:t>2</w:t>
      </w:r>
      <w:r>
        <w:rPr>
          <w:sz w:val="22"/>
          <w:szCs w:val="22"/>
        </w:rPr>
        <w:t xml:space="preserve"> v referatu ERUDIO VSŠ in priložijo zahtevane dokumente. Prijave morajo biti oddane tudi v elektronski (na naslov: referat.vss</w:t>
      </w:r>
      <w:r w:rsidR="00AC0B84">
        <w:rPr>
          <w:sz w:val="22"/>
          <w:szCs w:val="22"/>
        </w:rPr>
        <w:t>1</w:t>
      </w:r>
      <w:r>
        <w:rPr>
          <w:sz w:val="22"/>
          <w:szCs w:val="22"/>
        </w:rPr>
        <w:t>@erudio.si) kot tudi fizični obliki.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Posameznik lahko na podlagi tega razpisa zaprosi le za eno ERAMUS+ finančno</w:t>
      </w:r>
      <w:r w:rsidR="0023712C">
        <w:rPr>
          <w:sz w:val="22"/>
          <w:szCs w:val="22"/>
        </w:rPr>
        <w:t xml:space="preserve"> dotacijo v študijskem letu 20</w:t>
      </w:r>
      <w:r w:rsidR="00AC0B84">
        <w:rPr>
          <w:sz w:val="22"/>
          <w:szCs w:val="22"/>
        </w:rPr>
        <w:t>21</w:t>
      </w:r>
      <w:r w:rsidR="0023712C">
        <w:rPr>
          <w:sz w:val="22"/>
          <w:szCs w:val="22"/>
        </w:rPr>
        <w:t>/2</w:t>
      </w:r>
      <w:r w:rsidR="00AC0B84">
        <w:rPr>
          <w:sz w:val="22"/>
          <w:szCs w:val="22"/>
        </w:rPr>
        <w:t>2</w:t>
      </w:r>
      <w:r>
        <w:rPr>
          <w:sz w:val="22"/>
          <w:szCs w:val="22"/>
        </w:rPr>
        <w:t xml:space="preserve">. Vsaka mobilnost je upravičena do dodelitve zgolj ene dotacije iz proračuna EU.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Dotacija ne sme biti namenjena ali uporabljena za ustvarjanje dobička za prejemnika. Finančni transferji morajo biti transparentni, sledljivi in dokazljivi.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Dovoljena je mobilnost višješolskega osebja, ki za obdobje mobilnosti ne prejme dotacije EU (</w:t>
      </w:r>
      <w:proofErr w:type="spellStart"/>
      <w:r>
        <w:rPr>
          <w:sz w:val="22"/>
          <w:szCs w:val="22"/>
        </w:rPr>
        <w:t>zero-grant</w:t>
      </w:r>
      <w:proofErr w:type="spellEnd"/>
      <w:r>
        <w:rPr>
          <w:sz w:val="22"/>
          <w:szCs w:val="22"/>
        </w:rPr>
        <w:t>), pri čemer pa lahko izkoristi prednosti programa ERASMUS+.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Zdravstveno zavarovanje si kandidati za obdobje mobilnosti urejajo sami.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numPr>
          <w:ilvl w:val="0"/>
          <w:numId w:val="5"/>
        </w:numPr>
        <w:ind w:left="284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Način razporejanja sredstev 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Referat ERUDIO VSŠ bo sprejemal pr</w:t>
      </w:r>
      <w:r w:rsidR="00673C15">
        <w:rPr>
          <w:sz w:val="22"/>
          <w:szCs w:val="22"/>
        </w:rPr>
        <w:t xml:space="preserve">ijave do </w:t>
      </w:r>
      <w:r w:rsidR="00AC0B84">
        <w:rPr>
          <w:sz w:val="22"/>
          <w:szCs w:val="22"/>
        </w:rPr>
        <w:t>31</w:t>
      </w:r>
      <w:r w:rsidR="0023712C">
        <w:rPr>
          <w:sz w:val="22"/>
          <w:szCs w:val="22"/>
        </w:rPr>
        <w:t xml:space="preserve">. </w:t>
      </w:r>
      <w:r w:rsidR="00AC0B84">
        <w:rPr>
          <w:sz w:val="22"/>
          <w:szCs w:val="22"/>
        </w:rPr>
        <w:t>0</w:t>
      </w:r>
      <w:r w:rsidR="00673C15">
        <w:rPr>
          <w:sz w:val="22"/>
          <w:szCs w:val="22"/>
        </w:rPr>
        <w:t>1. 20</w:t>
      </w:r>
      <w:r w:rsidR="00AC0B84">
        <w:rPr>
          <w:sz w:val="22"/>
          <w:szCs w:val="22"/>
        </w:rPr>
        <w:t>22</w:t>
      </w:r>
      <w:r>
        <w:rPr>
          <w:sz w:val="22"/>
          <w:szCs w:val="22"/>
        </w:rPr>
        <w:t xml:space="preserve">. V kolikor do tega roka ne bomo prijeli zadostnega števila vlog, bo razpis odprt do zapolnitve prostih mest oziroma do porabe razpoložljivih sredstev. O izboru </w:t>
      </w:r>
      <w:r>
        <w:rPr>
          <w:sz w:val="22"/>
          <w:szCs w:val="22"/>
        </w:rPr>
        <w:lastRenderedPageBreak/>
        <w:t xml:space="preserve">bodo kandidati (po elektronski pošti) obveščeni s sklepom, ki ga bo izdala </w:t>
      </w:r>
      <w:r w:rsidR="00673C15">
        <w:rPr>
          <w:sz w:val="22"/>
          <w:szCs w:val="22"/>
        </w:rPr>
        <w:t xml:space="preserve">ERUDIO VSŠ do </w:t>
      </w:r>
      <w:r w:rsidR="00AC0B84">
        <w:rPr>
          <w:sz w:val="22"/>
          <w:szCs w:val="22"/>
        </w:rPr>
        <w:t>28</w:t>
      </w:r>
      <w:r w:rsidR="0023712C">
        <w:rPr>
          <w:sz w:val="22"/>
          <w:szCs w:val="22"/>
        </w:rPr>
        <w:t xml:space="preserve">. </w:t>
      </w:r>
      <w:r w:rsidR="00AC0B84">
        <w:rPr>
          <w:sz w:val="22"/>
          <w:szCs w:val="22"/>
        </w:rPr>
        <w:t>02</w:t>
      </w:r>
      <w:r w:rsidR="00673C15">
        <w:rPr>
          <w:sz w:val="22"/>
          <w:szCs w:val="22"/>
        </w:rPr>
        <w:t>. 20</w:t>
      </w:r>
      <w:r w:rsidR="00AC0B84">
        <w:rPr>
          <w:sz w:val="22"/>
          <w:szCs w:val="22"/>
        </w:rPr>
        <w:t>22</w:t>
      </w:r>
      <w:r>
        <w:rPr>
          <w:sz w:val="22"/>
          <w:szCs w:val="22"/>
        </w:rPr>
        <w:t xml:space="preserve">, oziroma v 30 dneh po prejemu prijave (v primeru podaljšanja trajanja razpisa).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V kol</w:t>
      </w:r>
      <w:r w:rsidR="00673C15">
        <w:rPr>
          <w:sz w:val="22"/>
          <w:szCs w:val="22"/>
        </w:rPr>
        <w:t xml:space="preserve">ikor bo na razpis do </w:t>
      </w:r>
      <w:r w:rsidR="00AC0B84">
        <w:rPr>
          <w:sz w:val="22"/>
          <w:szCs w:val="22"/>
        </w:rPr>
        <w:t>31</w:t>
      </w:r>
      <w:r w:rsidR="00673C15">
        <w:rPr>
          <w:sz w:val="22"/>
          <w:szCs w:val="22"/>
        </w:rPr>
        <w:t xml:space="preserve">. </w:t>
      </w:r>
      <w:r w:rsidR="00AC0B84">
        <w:rPr>
          <w:sz w:val="22"/>
          <w:szCs w:val="22"/>
        </w:rPr>
        <w:t>01</w:t>
      </w:r>
      <w:r w:rsidR="00673C15">
        <w:rPr>
          <w:sz w:val="22"/>
          <w:szCs w:val="22"/>
        </w:rPr>
        <w:t>. 20</w:t>
      </w:r>
      <w:r w:rsidR="00AC0B84">
        <w:rPr>
          <w:sz w:val="22"/>
          <w:szCs w:val="22"/>
        </w:rPr>
        <w:t xml:space="preserve">22 </w:t>
      </w:r>
      <w:r>
        <w:rPr>
          <w:sz w:val="22"/>
          <w:szCs w:val="22"/>
        </w:rPr>
        <w:t xml:space="preserve">prispelo več prijav, kot je prostih mest oziroma razpoložljivih sredstev, bo mobilnost odobrena glede na </w:t>
      </w:r>
      <w:proofErr w:type="spellStart"/>
      <w:r>
        <w:rPr>
          <w:sz w:val="22"/>
          <w:szCs w:val="22"/>
        </w:rPr>
        <w:t>rangirano</w:t>
      </w:r>
      <w:proofErr w:type="spellEnd"/>
      <w:r>
        <w:rPr>
          <w:sz w:val="22"/>
          <w:szCs w:val="22"/>
        </w:rPr>
        <w:t xml:space="preserve"> listo prijav. Pri </w:t>
      </w:r>
      <w:proofErr w:type="spellStart"/>
      <w:r>
        <w:rPr>
          <w:sz w:val="22"/>
          <w:szCs w:val="22"/>
        </w:rPr>
        <w:t>rangiranju</w:t>
      </w:r>
      <w:proofErr w:type="spellEnd"/>
      <w:r>
        <w:rPr>
          <w:sz w:val="22"/>
          <w:szCs w:val="22"/>
        </w:rPr>
        <w:t xml:space="preserve"> se upošteva seštevek točk, pridobljenih po naslednjih kriterijih: </w:t>
      </w: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6D02" w:rsidRDefault="00D939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kandidati, ki se za </w:t>
      </w:r>
      <w:proofErr w:type="spellStart"/>
      <w:r>
        <w:rPr>
          <w:color w:val="000000"/>
          <w:sz w:val="22"/>
          <w:szCs w:val="22"/>
        </w:rPr>
        <w:t>Erasmus</w:t>
      </w:r>
      <w:proofErr w:type="spellEnd"/>
      <w:r>
        <w:rPr>
          <w:color w:val="000000"/>
          <w:sz w:val="22"/>
          <w:szCs w:val="22"/>
        </w:rPr>
        <w:t>+ mobilnost prijavljajo prvič (10 točk),</w:t>
      </w:r>
    </w:p>
    <w:p w:rsidR="00FE6D02" w:rsidRDefault="00D939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kandidati, ki imajo že dogovorjeno usposabljanje oz. potrditev institucije gostiteljice (5 točk),</w:t>
      </w:r>
    </w:p>
    <w:p w:rsidR="00FE6D02" w:rsidRDefault="00D939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kakovost motivacijskega pisma (do 10 točk),</w:t>
      </w:r>
    </w:p>
    <w:p w:rsidR="00FE6D02" w:rsidRDefault="00D939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predviden prenos dobre prakse v trenutno delo ERUDIO VSŠ (do 10 točk).</w:t>
      </w:r>
    </w:p>
    <w:p w:rsidR="00FE6D02" w:rsidRDefault="00FE6D02">
      <w:pPr>
        <w:jc w:val="both"/>
        <w:rPr>
          <w:b/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primeru večjega števila prijav se v skladu z enakomerno razporeditvijo financiranja izbor upravičencev omeji na največ 4 prijave (po </w:t>
      </w:r>
      <w:proofErr w:type="spellStart"/>
      <w:r>
        <w:rPr>
          <w:sz w:val="22"/>
          <w:szCs w:val="22"/>
        </w:rPr>
        <w:t>rangirni</w:t>
      </w:r>
      <w:proofErr w:type="spellEnd"/>
      <w:r>
        <w:rPr>
          <w:sz w:val="22"/>
          <w:szCs w:val="22"/>
        </w:rPr>
        <w:t xml:space="preserve"> listi). V primeru, da bo ob upoštevanju navedenih kriterijev ostalo več enakovrednih vlog, kot je prostih mest oz. razpoložljivih sredstev, bo o končnem izboru odločil žreb.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navedenih kriterijih izbor opravi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 komisija ERUDIO VSŠ.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      Oddaja spletne vloge za dodelitev </w:t>
      </w:r>
      <w:proofErr w:type="spellStart"/>
      <w:r>
        <w:rPr>
          <w:b/>
          <w:sz w:val="22"/>
          <w:szCs w:val="22"/>
        </w:rPr>
        <w:t>Erasmus</w:t>
      </w:r>
      <w:proofErr w:type="spellEnd"/>
      <w:r>
        <w:rPr>
          <w:b/>
          <w:sz w:val="22"/>
          <w:szCs w:val="22"/>
        </w:rPr>
        <w:t xml:space="preserve">+ STT dotacije 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Vsi izbrani kandidati, ki jim bo odobrena možnost prijave na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STT finančno dotacijo, bodo morali po prejemu sklepa o izboru in vsaj 14 dni pred pričetkom mobilnosti, oddati spletno prijavo za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>+ STT dotacijo. Dostop do spletne vloge bodo izbrani kandidati prejeli po elektronski pošti.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V spletni vlogi se poleg osebnih podatkov in informacij o mobilnosti odda tudi Sporazum za mobilnost osebja za usposabljanje (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</w:t>
      </w:r>
      <w:proofErr w:type="spellStart"/>
      <w:r>
        <w:rPr>
          <w:sz w:val="22"/>
          <w:szCs w:val="22"/>
        </w:rPr>
        <w:t>staff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training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Mobility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agreement</w:t>
      </w:r>
      <w:proofErr w:type="spellEnd"/>
      <w:r>
        <w:rPr>
          <w:sz w:val="22"/>
          <w:szCs w:val="22"/>
        </w:rPr>
        <w:t xml:space="preserve">), ki je potrjen s strani odgovorne osebe na ERUDIO VSŠ in institucije gostiteljice, v katerem so opredeljena vsebina, cilji in podrobne informacije o usposabljanju. Po oddani popolni spletni vlogi se kandidatom na elektronski naslov posreduje Pogodbo o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STT dotaciji. </w:t>
      </w:r>
      <w:r>
        <w:rPr>
          <w:sz w:val="22"/>
          <w:szCs w:val="22"/>
          <w:u w:val="single"/>
        </w:rPr>
        <w:t>Ustrezna in popolna spletna vloga ter podpisana pogodba pred začetkom mobilnosti sta pogoj za prejem dotacije.</w:t>
      </w:r>
      <w:r>
        <w:rPr>
          <w:sz w:val="22"/>
          <w:szCs w:val="22"/>
        </w:rPr>
        <w:t xml:space="preserve">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8.      Po realizaciji mobilnosti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Najkasneje v roku 14 dni po zaključku mobilnosti koristnik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 mobilnosti, ki mu je bilo sofinanciranje odobreno, prek spletne prijave odda zaključno dokumentacije:</w:t>
      </w:r>
    </w:p>
    <w:p w:rsidR="00FE6D02" w:rsidRDefault="00D93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  <w:u w:val="single"/>
        </w:rPr>
        <w:t>Letter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</w:rPr>
        <w:t>of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</w:rPr>
        <w:t>confirmation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</w:rPr>
        <w:t>for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</w:rPr>
        <w:t>Erasmus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+ STT </w:t>
      </w:r>
      <w:proofErr w:type="spellStart"/>
      <w:r>
        <w:rPr>
          <w:b/>
          <w:color w:val="000000"/>
          <w:sz w:val="22"/>
          <w:szCs w:val="22"/>
          <w:u w:val="single"/>
        </w:rPr>
        <w:t>mobility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/ Potrdilo o izvedeni </w:t>
      </w:r>
      <w:proofErr w:type="spellStart"/>
      <w:r>
        <w:rPr>
          <w:b/>
          <w:color w:val="000000"/>
          <w:sz w:val="22"/>
          <w:szCs w:val="22"/>
          <w:u w:val="single"/>
        </w:rPr>
        <w:t>Erasmus</w:t>
      </w:r>
      <w:proofErr w:type="spellEnd"/>
      <w:r>
        <w:rPr>
          <w:b/>
          <w:color w:val="000000"/>
          <w:sz w:val="22"/>
          <w:szCs w:val="22"/>
          <w:u w:val="single"/>
        </w:rPr>
        <w:t>+ STT mobilnosti</w:t>
      </w:r>
      <w:r>
        <w:rPr>
          <w:color w:val="000000"/>
          <w:sz w:val="22"/>
          <w:szCs w:val="22"/>
        </w:rPr>
        <w:t>,</w:t>
      </w:r>
    </w:p>
    <w:p w:rsidR="00FE6D02" w:rsidRDefault="00D93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Obrazec Obračun upravičenih stroškov za </w:t>
      </w:r>
      <w:proofErr w:type="spellStart"/>
      <w:r>
        <w:rPr>
          <w:b/>
          <w:color w:val="000000"/>
          <w:sz w:val="22"/>
          <w:szCs w:val="22"/>
          <w:u w:val="single"/>
        </w:rPr>
        <w:t>Erasmus</w:t>
      </w:r>
      <w:proofErr w:type="spellEnd"/>
      <w:r>
        <w:rPr>
          <w:b/>
          <w:color w:val="000000"/>
          <w:sz w:val="22"/>
          <w:szCs w:val="22"/>
          <w:u w:val="single"/>
        </w:rPr>
        <w:t>+: usposabljanje zaposlenih</w:t>
      </w:r>
      <w:r>
        <w:rPr>
          <w:color w:val="000000"/>
          <w:sz w:val="22"/>
          <w:szCs w:val="22"/>
        </w:rPr>
        <w:t>, potrjen s strani matične institucije. (Originalna dokazila se morajo hraniti na matični fakulteti še 5 let po prejemu končnega nakazila).</w:t>
      </w:r>
    </w:p>
    <w:p w:rsidR="00FE6D02" w:rsidRDefault="00D93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Končno poročilo o </w:t>
      </w:r>
      <w:proofErr w:type="spellStart"/>
      <w:r>
        <w:rPr>
          <w:b/>
          <w:color w:val="000000"/>
          <w:sz w:val="22"/>
          <w:szCs w:val="22"/>
          <w:u w:val="single"/>
        </w:rPr>
        <w:t>Erasmus</w:t>
      </w:r>
      <w:proofErr w:type="spellEnd"/>
      <w:r>
        <w:rPr>
          <w:b/>
          <w:color w:val="000000"/>
          <w:sz w:val="22"/>
          <w:szCs w:val="22"/>
          <w:u w:val="single"/>
        </w:rPr>
        <w:t>+ mobilnosti</w:t>
      </w:r>
      <w:r>
        <w:rPr>
          <w:color w:val="000000"/>
          <w:sz w:val="22"/>
          <w:szCs w:val="22"/>
        </w:rPr>
        <w:t xml:space="preserve">. Oddaja končnega poročila je pogoj za prejem </w:t>
      </w:r>
      <w:proofErr w:type="spellStart"/>
      <w:r>
        <w:rPr>
          <w:color w:val="000000"/>
          <w:sz w:val="22"/>
          <w:szCs w:val="22"/>
        </w:rPr>
        <w:t>Erasmus</w:t>
      </w:r>
      <w:proofErr w:type="spellEnd"/>
      <w:r>
        <w:rPr>
          <w:color w:val="000000"/>
          <w:sz w:val="22"/>
          <w:szCs w:val="22"/>
        </w:rPr>
        <w:t>+ STT dotacije. Končno poročilo je ob zaključku mobilnosti poslano prijaviteljem s strani Evropske komisije neposredno na elektronski naslov. Na spletno prijavo naložijo izpis (</w:t>
      </w:r>
      <w:proofErr w:type="spellStart"/>
      <w:r>
        <w:rPr>
          <w:color w:val="000000"/>
          <w:sz w:val="22"/>
          <w:szCs w:val="22"/>
        </w:rPr>
        <w:t>pdf</w:t>
      </w:r>
      <w:proofErr w:type="spellEnd"/>
      <w:r>
        <w:rPr>
          <w:color w:val="000000"/>
          <w:sz w:val="22"/>
          <w:szCs w:val="22"/>
        </w:rPr>
        <w:t xml:space="preserve"> datoteko).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oddaji končne dokumentacije se obračuna končna višina </w:t>
      </w:r>
      <w:proofErr w:type="spellStart"/>
      <w:r>
        <w:rPr>
          <w:b/>
          <w:sz w:val="22"/>
          <w:szCs w:val="22"/>
        </w:rPr>
        <w:t>Erasmus</w:t>
      </w:r>
      <w:proofErr w:type="spellEnd"/>
      <w:r>
        <w:rPr>
          <w:b/>
          <w:sz w:val="22"/>
          <w:szCs w:val="22"/>
        </w:rPr>
        <w:t xml:space="preserve">+ STT dotacije, v skladu s 4. točko tega razpisa. Izplačilo dotacije bo opravljeno v 30 dneh po prejemu in odobritvi vseh dokumentov zahtevanih s strani ERUDIO VSŠ, na račun ERUDIO VSŠ.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>ERUDIO VSŠ je dolžna izplačati samo sredstva, ki jih prejme od Nacionalne agencije (CMEPIUS).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9.      Ugovor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Morebitne ugovore zoper sklep iz točke 6. tega razpisa lahko prijavitelji vložijo pri ravnateljici ERUDIO VSŠ v roku 8 dni od vročitve sklepa. O ugovoru v roku 10 delovnih dni s sklepom odloči ravnateljica ERUDIO VSŠ. V ugovoru morajo biti v pisni obrazložitvi natančno opredeljeni razlogi, zaradi katerih je ugovor vložen. Predmet ugovora ne morejo biti pogoji za prijavo prijaviteljev.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    Dodatne informacije in obveščanje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2371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  <w:r w:rsidR="00AC0B84">
        <w:rPr>
          <w:sz w:val="22"/>
          <w:szCs w:val="22"/>
        </w:rPr>
        <w:t>Anja Kocbek</w:t>
      </w:r>
      <w:r w:rsidR="00D9395E">
        <w:rPr>
          <w:sz w:val="22"/>
          <w:szCs w:val="22"/>
        </w:rPr>
        <w:t>, e-naslov: referat.vss</w:t>
      </w:r>
      <w:r w:rsidR="00AC0B84">
        <w:rPr>
          <w:sz w:val="22"/>
          <w:szCs w:val="22"/>
        </w:rPr>
        <w:t>1</w:t>
      </w:r>
      <w:r w:rsidR="00D9395E">
        <w:rPr>
          <w:sz w:val="22"/>
          <w:szCs w:val="22"/>
        </w:rPr>
        <w:t xml:space="preserve">@erudio.si. </w:t>
      </w:r>
    </w:p>
    <w:p w:rsidR="00FE6D02" w:rsidRDefault="00FE6D02">
      <w:pPr>
        <w:jc w:val="both"/>
        <w:rPr>
          <w:sz w:val="22"/>
          <w:szCs w:val="22"/>
        </w:rPr>
      </w:pPr>
    </w:p>
    <w:p w:rsidR="00FE6D02" w:rsidRDefault="00FE6D02">
      <w:pPr>
        <w:jc w:val="both"/>
        <w:rPr>
          <w:sz w:val="22"/>
          <w:szCs w:val="22"/>
        </w:rPr>
      </w:pPr>
    </w:p>
    <w:p w:rsidR="00FE6D02" w:rsidRDefault="00D9395E">
      <w:pPr>
        <w:jc w:val="both"/>
        <w:rPr>
          <w:rFonts w:ascii="CronosPro-LtCapt" w:eastAsia="CronosPro-LtCapt" w:hAnsi="CronosPro-LtCapt" w:cs="CronosPro-LtCapt"/>
          <w:sz w:val="18"/>
          <w:szCs w:val="18"/>
        </w:rPr>
      </w:pPr>
      <w:r>
        <w:rPr>
          <w:sz w:val="22"/>
          <w:szCs w:val="22"/>
        </w:rPr>
        <w:t>L</w:t>
      </w:r>
      <w:r w:rsidR="00673C15">
        <w:rPr>
          <w:sz w:val="22"/>
          <w:szCs w:val="22"/>
        </w:rPr>
        <w:t xml:space="preserve">jubljana, </w:t>
      </w:r>
      <w:r w:rsidR="00AC0B84">
        <w:rPr>
          <w:sz w:val="22"/>
          <w:szCs w:val="22"/>
        </w:rPr>
        <w:t>1. december</w:t>
      </w:r>
      <w:r w:rsidR="0023712C">
        <w:rPr>
          <w:sz w:val="22"/>
          <w:szCs w:val="22"/>
        </w:rPr>
        <w:t xml:space="preserve"> </w:t>
      </w:r>
      <w:r w:rsidR="00AC0B84">
        <w:rPr>
          <w:sz w:val="22"/>
          <w:szCs w:val="22"/>
        </w:rPr>
        <w:t>2021</w:t>
      </w:r>
      <w:bookmarkStart w:id="1" w:name="_GoBack"/>
      <w:bookmarkEnd w:id="1"/>
    </w:p>
    <w:p w:rsidR="00FE6D02" w:rsidRDefault="00FE6D02">
      <w:pPr>
        <w:jc w:val="both"/>
        <w:rPr>
          <w:rFonts w:ascii="CronosPro-LtCapt" w:eastAsia="CronosPro-LtCapt" w:hAnsi="CronosPro-LtCapt" w:cs="CronosPro-LtCapt"/>
          <w:sz w:val="18"/>
          <w:szCs w:val="18"/>
        </w:rPr>
      </w:pPr>
    </w:p>
    <w:p w:rsidR="00FE6D02" w:rsidRDefault="00FE6D02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E6D02" w:rsidRDefault="00FE6D02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E6D02" w:rsidRDefault="00FE6D02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E6D02" w:rsidRDefault="00FE6D02">
      <w:pPr>
        <w:jc w:val="both"/>
        <w:rPr>
          <w:sz w:val="22"/>
          <w:szCs w:val="22"/>
        </w:rPr>
      </w:pPr>
    </w:p>
    <w:sectPr w:rsidR="00FE6D02">
      <w:headerReference w:type="default" r:id="rId12"/>
      <w:footerReference w:type="default" r:id="rId13"/>
      <w:pgSz w:w="11906" w:h="16838"/>
      <w:pgMar w:top="1440" w:right="1080" w:bottom="1440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5A" w:rsidRDefault="00E0725A">
      <w:r>
        <w:separator/>
      </w:r>
    </w:p>
  </w:endnote>
  <w:endnote w:type="continuationSeparator" w:id="0">
    <w:p w:rsidR="00E0725A" w:rsidRDefault="00E0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ronosPro-LtCap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02" w:rsidRDefault="00D9395E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AC0B84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  <w:p w:rsidR="00FE6D02" w:rsidRDefault="00FE6D02">
    <w:pPr>
      <w:tabs>
        <w:tab w:val="center" w:pos="4536"/>
        <w:tab w:val="right" w:pos="9072"/>
      </w:tabs>
      <w:spacing w:after="70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5A" w:rsidRDefault="00E0725A">
      <w:r>
        <w:separator/>
      </w:r>
    </w:p>
  </w:footnote>
  <w:footnote w:type="continuationSeparator" w:id="0">
    <w:p w:rsidR="00E0725A" w:rsidRDefault="00E0725A">
      <w:r>
        <w:continuationSeparator/>
      </w:r>
    </w:p>
  </w:footnote>
  <w:footnote w:id="1">
    <w:p w:rsidR="0023712C" w:rsidRPr="0023712C" w:rsidRDefault="0023712C">
      <w:pPr>
        <w:pStyle w:val="Sprotnaopomba-besedilo"/>
        <w:rPr>
          <w:sz w:val="18"/>
          <w:szCs w:val="18"/>
        </w:rPr>
      </w:pPr>
      <w:r w:rsidRPr="0023712C">
        <w:rPr>
          <w:rStyle w:val="Sprotnaopomba-sklic"/>
          <w:sz w:val="18"/>
          <w:szCs w:val="18"/>
        </w:rPr>
        <w:footnoteRef/>
      </w:r>
      <w:r w:rsidRPr="0023712C">
        <w:rPr>
          <w:sz w:val="18"/>
          <w:szCs w:val="18"/>
        </w:rPr>
        <w:t xml:space="preserve"> Dnevni znesek se izračuna: do 14. dne aktivnosti: znesek na dan na udeleženca, kot je določeno v spodnji razpredelnici, + od 15. do 60. dne aktivnosti: 70% zneska na dan na udeleženca, kot je določeno v zgornji razpredelnici.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02" w:rsidRDefault="00FE6D02">
    <w:pPr>
      <w:tabs>
        <w:tab w:val="center" w:pos="4536"/>
        <w:tab w:val="right" w:pos="9072"/>
      </w:tabs>
      <w:spacing w:before="708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FD6"/>
    <w:multiLevelType w:val="multilevel"/>
    <w:tmpl w:val="07D86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F16949"/>
    <w:multiLevelType w:val="multilevel"/>
    <w:tmpl w:val="CB760EA0"/>
    <w:lvl w:ilvl="0">
      <w:start w:val="1"/>
      <w:numFmt w:val="decimal"/>
      <w:lvlText w:val="%1."/>
      <w:lvlJc w:val="left"/>
      <w:pPr>
        <w:ind w:left="180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6300"/>
      </w:pPr>
      <w:rPr>
        <w:vertAlign w:val="baseline"/>
      </w:rPr>
    </w:lvl>
  </w:abstractNum>
  <w:abstractNum w:abstractNumId="2" w15:restartNumberingAfterBreak="0">
    <w:nsid w:val="32AF2F01"/>
    <w:multiLevelType w:val="multilevel"/>
    <w:tmpl w:val="0436D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DD0176"/>
    <w:multiLevelType w:val="multilevel"/>
    <w:tmpl w:val="927E6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DE06DE"/>
    <w:multiLevelType w:val="multilevel"/>
    <w:tmpl w:val="60EE0AF2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02"/>
    <w:rsid w:val="000D1A4F"/>
    <w:rsid w:val="001C6CF8"/>
    <w:rsid w:val="0023712C"/>
    <w:rsid w:val="003B54F5"/>
    <w:rsid w:val="00673C15"/>
    <w:rsid w:val="00712595"/>
    <w:rsid w:val="00816F84"/>
    <w:rsid w:val="008E02D9"/>
    <w:rsid w:val="00AC0B84"/>
    <w:rsid w:val="00D9395E"/>
    <w:rsid w:val="00DB1CBD"/>
    <w:rsid w:val="00E0725A"/>
    <w:rsid w:val="00E5059A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F0AD"/>
  <w15:docId w15:val="{4D18E14B-38F4-4C21-888C-889C9DB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712C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712C"/>
  </w:style>
  <w:style w:type="character" w:styleId="Sprotnaopomba-sklic">
    <w:name w:val="footnote reference"/>
    <w:basedOn w:val="Privzetapisavaodstavka"/>
    <w:uiPriority w:val="99"/>
    <w:semiHidden/>
    <w:unhideWhenUsed/>
    <w:rsid w:val="00237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programmes/erasmus-plus/resources_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8082DF-9477-4C38-A7BC-08175178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VSS2</dc:creator>
  <cp:lastModifiedBy>Predavatelj</cp:lastModifiedBy>
  <cp:revision>3</cp:revision>
  <dcterms:created xsi:type="dcterms:W3CDTF">2021-12-10T11:15:00Z</dcterms:created>
  <dcterms:modified xsi:type="dcterms:W3CDTF">2021-12-10T11:17:00Z</dcterms:modified>
</cp:coreProperties>
</file>